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4A5C6">
      <w:pPr>
        <w:pStyle w:val="5"/>
        <w:widowControl w:val="0"/>
        <w:spacing w:line="360" w:lineRule="auto"/>
        <w:ind w:firstLine="723" w:firstLineChars="200"/>
        <w:jc w:val="center"/>
        <w:rPr>
          <w:rFonts w:hint="eastAsia" w:ascii="宋体" w:hAnsi="宋体" w:eastAsia="宋体" w:cs="宋体"/>
          <w:b/>
          <w:snapToGrid/>
          <w:color w:val="auto"/>
          <w:kern w:val="2"/>
          <w:highlight w:val="none"/>
          <w:lang w:eastAsia="zh-CN"/>
        </w:rPr>
      </w:pPr>
      <w:bookmarkStart w:id="0" w:name="OLE_LINK2"/>
      <w:bookmarkStart w:id="1" w:name="OLE_LINK1"/>
      <w:r>
        <w:rPr>
          <w:rFonts w:hint="eastAsia" w:ascii="宋体" w:hAnsi="宋体" w:cs="宋体"/>
          <w:b/>
          <w:sz w:val="36"/>
          <w:szCs w:val="36"/>
          <w:lang w:val="en-US" w:eastAsia="zh-CN"/>
        </w:rPr>
        <w:t>采购需求</w:t>
      </w:r>
    </w:p>
    <w:p w14:paraId="2558B551">
      <w:pPr>
        <w:keepLines/>
        <w:widowControl/>
        <w:spacing w:line="360" w:lineRule="auto"/>
        <w:jc w:val="both"/>
        <w:rPr>
          <w:rFonts w:ascii="宋体" w:hAnsi="宋体" w:eastAsia="宋体" w:cs="宋体"/>
          <w:b/>
          <w:snapToGrid/>
          <w:color w:val="auto"/>
          <w:kern w:val="2"/>
          <w:highlight w:val="none"/>
          <w:lang w:eastAsia="zh-CN"/>
        </w:rPr>
      </w:pPr>
      <w:r>
        <w:rPr>
          <w:rFonts w:hint="eastAsia" w:ascii="宋体" w:hAnsi="宋体" w:eastAsia="宋体" w:cs="宋体"/>
          <w:b/>
          <w:snapToGrid/>
          <w:color w:val="auto"/>
          <w:kern w:val="2"/>
          <w:highlight w:val="none"/>
          <w:lang w:eastAsia="zh-CN"/>
        </w:rPr>
        <w:t>一、服务内容</w:t>
      </w:r>
    </w:p>
    <w:p w14:paraId="77F13723">
      <w:pPr>
        <w:pStyle w:val="5"/>
        <w:widowControl w:val="0"/>
        <w:spacing w:line="360" w:lineRule="auto"/>
        <w:ind w:firstLine="422" w:firstLineChars="200"/>
        <w:jc w:val="both"/>
        <w:rPr>
          <w:rFonts w:hint="default" w:ascii="宋体" w:hAnsi="宋体" w:cs="宋体"/>
          <w:color w:val="auto"/>
          <w:sz w:val="21"/>
          <w:szCs w:val="21"/>
          <w:highlight w:val="none"/>
        </w:rPr>
      </w:pPr>
      <w:r>
        <w:rPr>
          <w:rFonts w:ascii="宋体" w:hAnsi="宋体" w:cs="宋体"/>
          <w:b/>
          <w:color w:val="auto"/>
          <w:sz w:val="21"/>
          <w:szCs w:val="21"/>
          <w:highlight w:val="none"/>
        </w:rPr>
        <w:t>（一）食堂运营管理</w:t>
      </w:r>
    </w:p>
    <w:p w14:paraId="77D20191">
      <w:pPr>
        <w:pStyle w:val="5"/>
        <w:widowControl w:val="0"/>
        <w:spacing w:line="360" w:lineRule="auto"/>
        <w:jc w:val="both"/>
        <w:rPr>
          <w:rFonts w:hint="default" w:ascii="宋体" w:hAnsi="宋体" w:cs="宋体"/>
          <w:color w:val="auto"/>
          <w:sz w:val="21"/>
          <w:szCs w:val="21"/>
          <w:highlight w:val="none"/>
        </w:rPr>
      </w:pPr>
      <w:r>
        <w:rPr>
          <w:rFonts w:ascii="宋体" w:hAnsi="宋体" w:cs="宋体"/>
          <w:color w:val="auto"/>
          <w:sz w:val="21"/>
          <w:szCs w:val="21"/>
          <w:highlight w:val="none"/>
        </w:rPr>
        <w:t>包括但不限于：</w:t>
      </w:r>
    </w:p>
    <w:p w14:paraId="42853297">
      <w:pPr>
        <w:pStyle w:val="5"/>
        <w:widowControl w:val="0"/>
        <w:spacing w:line="360" w:lineRule="auto"/>
        <w:ind w:firstLine="420" w:firstLineChars="200"/>
        <w:jc w:val="both"/>
        <w:rPr>
          <w:rFonts w:hint="default" w:ascii="宋体" w:hAnsi="宋体" w:cs="宋体"/>
          <w:color w:val="auto"/>
          <w:sz w:val="21"/>
          <w:szCs w:val="21"/>
          <w:highlight w:val="none"/>
        </w:rPr>
      </w:pPr>
      <w:r>
        <w:rPr>
          <w:rFonts w:ascii="宋体" w:hAnsi="宋体" w:cs="宋体"/>
          <w:color w:val="auto"/>
          <w:sz w:val="21"/>
          <w:szCs w:val="21"/>
          <w:highlight w:val="none"/>
        </w:rPr>
        <w:t>1.餐厅工作人员的招聘与管理；2.餐厅档口的餐品供应；3.餐厅档口菜品质量控制；4.餐厅所有食材原料供应链搭建与管理；5.餐厅食品安全管理；6.餐厅环境质量管理；7.餐厅服务管理；8.餐厅设施设备的保管与维护；9.突发状况应急处理等。</w:t>
      </w:r>
    </w:p>
    <w:p w14:paraId="2938FAA4">
      <w:pPr>
        <w:pStyle w:val="5"/>
        <w:widowControl w:val="0"/>
        <w:spacing w:line="360" w:lineRule="auto"/>
        <w:ind w:firstLine="422" w:firstLineChars="200"/>
        <w:jc w:val="both"/>
        <w:rPr>
          <w:rFonts w:hint="default" w:ascii="宋体" w:hAnsi="宋体" w:cs="宋体"/>
          <w:b/>
          <w:bCs/>
          <w:color w:val="auto"/>
          <w:sz w:val="21"/>
          <w:szCs w:val="21"/>
          <w:highlight w:val="none"/>
        </w:rPr>
      </w:pPr>
      <w:r>
        <w:rPr>
          <w:rFonts w:ascii="宋体" w:hAnsi="宋体" w:cs="宋体"/>
          <w:b/>
          <w:bCs/>
          <w:color w:val="auto"/>
          <w:sz w:val="21"/>
          <w:szCs w:val="21"/>
          <w:highlight w:val="none"/>
        </w:rPr>
        <w:t>（二）供餐内容</w:t>
      </w:r>
    </w:p>
    <w:p w14:paraId="19A31F42">
      <w:pPr>
        <w:pStyle w:val="5"/>
        <w:widowControl w:val="0"/>
        <w:spacing w:line="360" w:lineRule="auto"/>
        <w:ind w:firstLine="420" w:firstLineChars="200"/>
        <w:jc w:val="both"/>
        <w:rPr>
          <w:rFonts w:hint="default" w:ascii="宋体" w:hAnsi="宋体" w:cs="宋体"/>
          <w:color w:val="auto"/>
          <w:sz w:val="21"/>
          <w:szCs w:val="21"/>
          <w:highlight w:val="none"/>
        </w:rPr>
      </w:pPr>
      <w:r>
        <w:rPr>
          <w:rFonts w:ascii="宋体" w:hAnsi="宋体" w:cs="宋体"/>
          <w:color w:val="auto"/>
          <w:sz w:val="21"/>
          <w:szCs w:val="21"/>
          <w:highlight w:val="none"/>
        </w:rPr>
        <w:t>1.就餐人员：院机关干警约300人，6个基层人民法庭干警约100人。</w:t>
      </w:r>
    </w:p>
    <w:p w14:paraId="7259EB6D">
      <w:pPr>
        <w:pStyle w:val="5"/>
        <w:widowControl w:val="0"/>
        <w:spacing w:line="360" w:lineRule="auto"/>
        <w:ind w:firstLine="420" w:firstLineChars="200"/>
        <w:jc w:val="both"/>
        <w:rPr>
          <w:rFonts w:hint="default" w:ascii="宋体" w:hAnsi="宋体" w:cs="宋体"/>
          <w:color w:val="auto"/>
          <w:sz w:val="21"/>
          <w:szCs w:val="21"/>
          <w:highlight w:val="none"/>
        </w:rPr>
      </w:pPr>
      <w:r>
        <w:rPr>
          <w:rFonts w:ascii="宋体" w:hAnsi="宋体" w:cs="宋体"/>
          <w:color w:val="auto"/>
          <w:sz w:val="21"/>
          <w:szCs w:val="21"/>
          <w:highlight w:val="none"/>
        </w:rPr>
        <w:t>2.供餐时间：</w:t>
      </w:r>
    </w:p>
    <w:p w14:paraId="260AD090">
      <w:pPr>
        <w:pStyle w:val="5"/>
        <w:widowControl w:val="0"/>
        <w:spacing w:line="360" w:lineRule="auto"/>
        <w:ind w:firstLine="420" w:firstLineChars="200"/>
        <w:jc w:val="both"/>
        <w:rPr>
          <w:rFonts w:hint="default" w:ascii="宋体" w:hAnsi="宋体" w:cs="宋体"/>
          <w:color w:val="auto"/>
          <w:sz w:val="21"/>
          <w:szCs w:val="21"/>
          <w:highlight w:val="none"/>
        </w:rPr>
      </w:pPr>
      <w:r>
        <w:rPr>
          <w:rFonts w:ascii="宋体" w:hAnsi="宋体" w:cs="宋体"/>
          <w:color w:val="auto"/>
          <w:sz w:val="21"/>
          <w:szCs w:val="21"/>
          <w:highlight w:val="none"/>
        </w:rPr>
        <w:t>①工作日早餐、中餐，共两餐；</w:t>
      </w:r>
      <w:r>
        <w:rPr>
          <w:rFonts w:hint="default" w:ascii="宋体" w:hAnsi="宋体" w:cs="宋体"/>
          <w:color w:val="auto"/>
          <w:sz w:val="21"/>
          <w:szCs w:val="21"/>
          <w:highlight w:val="none"/>
        </w:rPr>
        <w:t xml:space="preserve"> </w:t>
      </w:r>
    </w:p>
    <w:p w14:paraId="79DE6E32">
      <w:pPr>
        <w:pStyle w:val="5"/>
        <w:widowControl w:val="0"/>
        <w:spacing w:line="360" w:lineRule="auto"/>
        <w:ind w:firstLine="420" w:firstLineChars="200"/>
        <w:jc w:val="both"/>
        <w:rPr>
          <w:rFonts w:hint="default" w:ascii="宋体" w:hAnsi="宋体" w:cs="宋体"/>
          <w:color w:val="auto"/>
          <w:sz w:val="21"/>
          <w:szCs w:val="21"/>
          <w:highlight w:val="none"/>
        </w:rPr>
      </w:pPr>
      <w:r>
        <w:rPr>
          <w:rFonts w:ascii="宋体" w:hAnsi="宋体" w:cs="宋体"/>
          <w:color w:val="auto"/>
          <w:sz w:val="21"/>
          <w:szCs w:val="21"/>
          <w:highlight w:val="none"/>
        </w:rPr>
        <w:t>早餐供应时间：8:00—9:00</w:t>
      </w:r>
    </w:p>
    <w:p w14:paraId="0ACB838A">
      <w:pPr>
        <w:pStyle w:val="5"/>
        <w:widowControl w:val="0"/>
        <w:spacing w:line="360" w:lineRule="auto"/>
        <w:ind w:firstLine="420" w:firstLineChars="200"/>
        <w:jc w:val="both"/>
        <w:rPr>
          <w:rFonts w:hint="default" w:ascii="宋体" w:hAnsi="宋体" w:cs="宋体"/>
          <w:color w:val="auto"/>
          <w:sz w:val="21"/>
          <w:szCs w:val="21"/>
          <w:highlight w:val="none"/>
        </w:rPr>
      </w:pPr>
      <w:r>
        <w:rPr>
          <w:rFonts w:ascii="宋体" w:hAnsi="宋体" w:cs="宋体"/>
          <w:color w:val="auto"/>
          <w:sz w:val="21"/>
          <w:szCs w:val="21"/>
          <w:highlight w:val="none"/>
        </w:rPr>
        <w:t>午餐供应时间：12:00—13:00</w:t>
      </w:r>
    </w:p>
    <w:p w14:paraId="3D087A92">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highlight w:val="none"/>
        </w:rPr>
        <w:t>②根据采购人实际需求，提供每年不少于50天的加班餐（工作日晚餐和周末早餐</w:t>
      </w:r>
      <w:r>
        <w:rPr>
          <w:rFonts w:ascii="宋体" w:hAnsi="宋体" w:cs="宋体"/>
          <w:color w:val="auto"/>
          <w:sz w:val="21"/>
          <w:szCs w:val="21"/>
        </w:rPr>
        <w:t>、中餐）</w:t>
      </w:r>
    </w:p>
    <w:p w14:paraId="7580A828">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晚餐供应时间：18：00—19:00</w:t>
      </w:r>
    </w:p>
    <w:p w14:paraId="2FC833E2">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周末早中餐供应时间与工作日一致</w:t>
      </w:r>
    </w:p>
    <w:p w14:paraId="67A0410D">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③因临时、突发状况需要安排供餐，应按采购人要求保障。</w:t>
      </w:r>
    </w:p>
    <w:p w14:paraId="6D0432FC">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3.供餐地点和内容：</w:t>
      </w:r>
    </w:p>
    <w:p w14:paraId="6F8D9309">
      <w:pPr>
        <w:pStyle w:val="5"/>
        <w:widowControl w:val="0"/>
        <w:spacing w:line="360" w:lineRule="auto"/>
        <w:ind w:firstLine="420"/>
        <w:jc w:val="both"/>
        <w:rPr>
          <w:rFonts w:ascii="宋体" w:hAnsi="宋体" w:cs="宋体"/>
          <w:b/>
          <w:bCs/>
          <w:color w:val="auto"/>
          <w:sz w:val="21"/>
          <w:szCs w:val="21"/>
        </w:rPr>
      </w:pPr>
      <w:r>
        <w:rPr>
          <w:rFonts w:ascii="宋体" w:hAnsi="宋体" w:cs="宋体"/>
          <w:b/>
          <w:bCs/>
          <w:color w:val="auto"/>
          <w:sz w:val="21"/>
          <w:szCs w:val="21"/>
        </w:rPr>
        <w:t>3.1餐厅供应服务点：</w:t>
      </w:r>
    </w:p>
    <w:p w14:paraId="46293922">
      <w:pPr>
        <w:pStyle w:val="5"/>
        <w:widowControl w:val="0"/>
        <w:spacing w:line="360" w:lineRule="auto"/>
        <w:ind w:firstLine="420"/>
        <w:jc w:val="both"/>
        <w:rPr>
          <w:rFonts w:hint="default" w:ascii="宋体" w:hAnsi="宋体" w:cs="宋体"/>
          <w:b/>
          <w:bCs/>
          <w:color w:val="auto"/>
          <w:sz w:val="21"/>
          <w:szCs w:val="21"/>
        </w:rPr>
      </w:pPr>
      <w:r>
        <w:rPr>
          <w:rFonts w:ascii="宋体" w:hAnsi="宋体" w:cs="宋体"/>
          <w:b/>
          <w:bCs/>
          <w:color w:val="auto"/>
          <w:sz w:val="21"/>
          <w:szCs w:val="21"/>
        </w:rPr>
        <w:t>院机关和6个基层法庭食堂。</w:t>
      </w:r>
    </w:p>
    <w:p w14:paraId="77A26EB3">
      <w:pPr>
        <w:pStyle w:val="5"/>
        <w:widowControl w:val="0"/>
        <w:spacing w:line="360" w:lineRule="auto"/>
        <w:ind w:firstLine="420"/>
        <w:jc w:val="both"/>
        <w:rPr>
          <w:rFonts w:hint="default"/>
          <w:color w:val="auto"/>
          <w:sz w:val="21"/>
          <w:szCs w:val="21"/>
        </w:rPr>
      </w:pPr>
      <w:r>
        <w:rPr>
          <w:rFonts w:ascii="宋体" w:hAnsi="宋体" w:cs="宋体"/>
          <w:color w:val="auto"/>
          <w:sz w:val="21"/>
          <w:szCs w:val="21"/>
        </w:rPr>
        <w:t>院机关</w:t>
      </w:r>
      <w:r>
        <w:rPr>
          <w:rFonts w:hint="eastAsia" w:ascii="宋体" w:hAnsi="宋体" w:cs="宋体"/>
          <w:color w:val="auto"/>
          <w:sz w:val="21"/>
          <w:szCs w:val="21"/>
          <w:lang w:eastAsia="zh-CN"/>
        </w:rPr>
        <w:t>：</w:t>
      </w:r>
      <w:r>
        <w:rPr>
          <w:rFonts w:ascii="宋体" w:hAnsi="宋体" w:cs="宋体"/>
          <w:color w:val="auto"/>
          <w:sz w:val="21"/>
          <w:szCs w:val="21"/>
        </w:rPr>
        <w:t>西安市长安区人民法院办公楼位于长安区西长安街</w:t>
      </w:r>
      <w:r>
        <w:rPr>
          <w:color w:val="auto"/>
          <w:sz w:val="21"/>
          <w:szCs w:val="21"/>
        </w:rPr>
        <w:t>141</w:t>
      </w:r>
      <w:r>
        <w:rPr>
          <w:rFonts w:ascii="宋体" w:hAnsi="宋体" w:cs="宋体"/>
          <w:color w:val="auto"/>
          <w:sz w:val="21"/>
          <w:szCs w:val="21"/>
        </w:rPr>
        <w:t>号；</w:t>
      </w:r>
    </w:p>
    <w:p w14:paraId="6EF5F76B">
      <w:pPr>
        <w:pStyle w:val="5"/>
        <w:widowControl w:val="0"/>
        <w:spacing w:line="360" w:lineRule="auto"/>
        <w:ind w:firstLine="420"/>
        <w:jc w:val="both"/>
        <w:rPr>
          <w:rFonts w:hint="default"/>
          <w:color w:val="auto"/>
          <w:sz w:val="21"/>
          <w:szCs w:val="21"/>
        </w:rPr>
      </w:pPr>
      <w:r>
        <w:rPr>
          <w:color w:val="auto"/>
          <w:sz w:val="21"/>
          <w:szCs w:val="21"/>
        </w:rPr>
        <w:t>6</w:t>
      </w:r>
      <w:r>
        <w:rPr>
          <w:rFonts w:ascii="宋体" w:hAnsi="宋体" w:cs="宋体"/>
          <w:color w:val="auto"/>
          <w:sz w:val="21"/>
          <w:szCs w:val="21"/>
        </w:rPr>
        <w:t>个基层法庭：</w:t>
      </w:r>
    </w:p>
    <w:p w14:paraId="4B5B876B">
      <w:pPr>
        <w:pStyle w:val="5"/>
        <w:widowControl w:val="0"/>
        <w:spacing w:line="360" w:lineRule="auto"/>
        <w:ind w:firstLine="420"/>
        <w:jc w:val="both"/>
        <w:rPr>
          <w:rFonts w:hint="default"/>
          <w:color w:val="auto"/>
          <w:sz w:val="21"/>
          <w:szCs w:val="21"/>
        </w:rPr>
      </w:pPr>
      <w:r>
        <w:rPr>
          <w:color w:val="auto"/>
          <w:sz w:val="21"/>
          <w:szCs w:val="21"/>
        </w:rPr>
        <w:t>①</w:t>
      </w:r>
      <w:r>
        <w:rPr>
          <w:rFonts w:ascii="宋体" w:hAnsi="宋体" w:cs="宋体"/>
          <w:color w:val="auto"/>
          <w:sz w:val="21"/>
          <w:szCs w:val="21"/>
        </w:rPr>
        <w:t>沣峪人民法庭：位于西安市长安区滦镇街道</w:t>
      </w:r>
      <w:r>
        <w:rPr>
          <w:color w:val="auto"/>
          <w:sz w:val="21"/>
          <w:szCs w:val="21"/>
        </w:rPr>
        <w:t>313</w:t>
      </w:r>
      <w:r>
        <w:rPr>
          <w:rFonts w:ascii="宋体" w:hAnsi="宋体" w:cs="宋体"/>
          <w:color w:val="auto"/>
          <w:sz w:val="21"/>
          <w:szCs w:val="21"/>
        </w:rPr>
        <w:t>县道（滦镇十字向西</w:t>
      </w:r>
      <w:r>
        <w:rPr>
          <w:color w:val="auto"/>
          <w:sz w:val="21"/>
          <w:szCs w:val="21"/>
        </w:rPr>
        <w:t>200</w:t>
      </w:r>
      <w:r>
        <w:rPr>
          <w:rFonts w:ascii="宋体" w:hAnsi="宋体" w:cs="宋体"/>
          <w:color w:val="auto"/>
          <w:sz w:val="21"/>
          <w:szCs w:val="21"/>
        </w:rPr>
        <w:t>米路北）；</w:t>
      </w:r>
    </w:p>
    <w:p w14:paraId="55289E02">
      <w:pPr>
        <w:pStyle w:val="5"/>
        <w:widowControl w:val="0"/>
        <w:spacing w:line="360" w:lineRule="auto"/>
        <w:ind w:firstLine="420"/>
        <w:jc w:val="both"/>
        <w:rPr>
          <w:rFonts w:hint="default"/>
          <w:color w:val="auto"/>
          <w:sz w:val="21"/>
          <w:szCs w:val="21"/>
        </w:rPr>
      </w:pPr>
      <w:r>
        <w:rPr>
          <w:color w:val="auto"/>
          <w:sz w:val="21"/>
          <w:szCs w:val="21"/>
        </w:rPr>
        <w:t>②</w:t>
      </w:r>
      <w:r>
        <w:rPr>
          <w:rFonts w:ascii="宋体" w:hAnsi="宋体" w:cs="宋体"/>
          <w:color w:val="auto"/>
          <w:sz w:val="21"/>
          <w:szCs w:val="21"/>
        </w:rPr>
        <w:t>王曲人民法庭：位于西安市长安区王曲街道</w:t>
      </w:r>
      <w:r>
        <w:rPr>
          <w:color w:val="auto"/>
          <w:sz w:val="21"/>
          <w:szCs w:val="21"/>
        </w:rPr>
        <w:t>238</w:t>
      </w:r>
      <w:r>
        <w:rPr>
          <w:rFonts w:ascii="宋体" w:hAnsi="宋体" w:cs="宋体"/>
          <w:color w:val="auto"/>
          <w:sz w:val="21"/>
          <w:szCs w:val="21"/>
        </w:rPr>
        <w:t>县道（王曲派出所旁）；</w:t>
      </w:r>
    </w:p>
    <w:p w14:paraId="6693BB8A">
      <w:pPr>
        <w:pStyle w:val="5"/>
        <w:widowControl w:val="0"/>
        <w:spacing w:line="360" w:lineRule="auto"/>
        <w:ind w:firstLine="420"/>
        <w:jc w:val="both"/>
        <w:rPr>
          <w:rFonts w:hint="default"/>
          <w:color w:val="auto"/>
          <w:sz w:val="21"/>
          <w:szCs w:val="21"/>
        </w:rPr>
      </w:pPr>
      <w:r>
        <w:rPr>
          <w:color w:val="auto"/>
          <w:sz w:val="21"/>
          <w:szCs w:val="21"/>
        </w:rPr>
        <w:t>③</w:t>
      </w:r>
      <w:r>
        <w:rPr>
          <w:rFonts w:ascii="宋体" w:hAnsi="宋体" w:cs="宋体"/>
          <w:color w:val="auto"/>
          <w:sz w:val="21"/>
          <w:szCs w:val="21"/>
        </w:rPr>
        <w:t>细柳人民法庭：位于西安市长安区西户路与韦斗路十字西北角；</w:t>
      </w:r>
    </w:p>
    <w:p w14:paraId="29FE3B6A">
      <w:pPr>
        <w:pStyle w:val="5"/>
        <w:widowControl w:val="0"/>
        <w:spacing w:line="360" w:lineRule="auto"/>
        <w:ind w:firstLine="420"/>
        <w:jc w:val="both"/>
        <w:rPr>
          <w:rFonts w:hint="default"/>
          <w:color w:val="auto"/>
          <w:sz w:val="21"/>
          <w:szCs w:val="21"/>
        </w:rPr>
      </w:pPr>
      <w:r>
        <w:rPr>
          <w:color w:val="auto"/>
          <w:sz w:val="21"/>
          <w:szCs w:val="21"/>
        </w:rPr>
        <w:t>④</w:t>
      </w:r>
      <w:r>
        <w:rPr>
          <w:rFonts w:ascii="宋体" w:hAnsi="宋体" w:cs="宋体"/>
          <w:color w:val="auto"/>
          <w:sz w:val="21"/>
          <w:szCs w:val="21"/>
        </w:rPr>
        <w:t>郭杜人民法庭：位于西安市长安区西户路与韦斗路十字西北角；</w:t>
      </w:r>
    </w:p>
    <w:p w14:paraId="4D353249">
      <w:pPr>
        <w:pStyle w:val="5"/>
        <w:widowControl w:val="0"/>
        <w:spacing w:line="360" w:lineRule="auto"/>
        <w:ind w:firstLine="420"/>
        <w:jc w:val="both"/>
        <w:rPr>
          <w:rFonts w:hint="default"/>
          <w:color w:val="auto"/>
          <w:sz w:val="21"/>
          <w:szCs w:val="21"/>
        </w:rPr>
      </w:pPr>
      <w:r>
        <w:rPr>
          <w:color w:val="auto"/>
          <w:sz w:val="21"/>
          <w:szCs w:val="21"/>
        </w:rPr>
        <w:t>⑤</w:t>
      </w:r>
      <w:r>
        <w:rPr>
          <w:rFonts w:ascii="宋体" w:hAnsi="宋体" w:cs="宋体"/>
          <w:color w:val="auto"/>
          <w:sz w:val="21"/>
          <w:szCs w:val="21"/>
        </w:rPr>
        <w:t>引镇人民法庭：位于西安市长安区引镇街道太兴南路</w:t>
      </w:r>
      <w:r>
        <w:rPr>
          <w:color w:val="auto"/>
          <w:sz w:val="21"/>
          <w:szCs w:val="21"/>
        </w:rPr>
        <w:t>27</w:t>
      </w:r>
      <w:r>
        <w:rPr>
          <w:rFonts w:ascii="宋体" w:hAnsi="宋体" w:cs="宋体"/>
          <w:color w:val="auto"/>
          <w:sz w:val="21"/>
          <w:szCs w:val="21"/>
        </w:rPr>
        <w:t>号；</w:t>
      </w:r>
    </w:p>
    <w:p w14:paraId="35EF49D9">
      <w:pPr>
        <w:pStyle w:val="5"/>
        <w:widowControl w:val="0"/>
        <w:spacing w:line="360" w:lineRule="auto"/>
        <w:ind w:firstLine="420"/>
        <w:jc w:val="both"/>
        <w:rPr>
          <w:rFonts w:hint="default" w:ascii="宋体" w:hAnsi="宋体" w:cs="宋体"/>
          <w:color w:val="auto"/>
          <w:sz w:val="21"/>
          <w:szCs w:val="21"/>
        </w:rPr>
      </w:pPr>
      <w:r>
        <w:rPr>
          <w:color w:val="auto"/>
          <w:sz w:val="21"/>
          <w:szCs w:val="21"/>
        </w:rPr>
        <w:t>⑥</w:t>
      </w:r>
      <w:r>
        <w:rPr>
          <w:rFonts w:ascii="宋体" w:hAnsi="宋体" w:cs="宋体"/>
          <w:color w:val="auto"/>
          <w:sz w:val="21"/>
          <w:szCs w:val="21"/>
        </w:rPr>
        <w:t>鸣犊人民法庭：位于西安市长安区鸣犊东街与鸣犊正街交叉口东</w:t>
      </w:r>
      <w:r>
        <w:rPr>
          <w:color w:val="auto"/>
          <w:sz w:val="21"/>
          <w:szCs w:val="21"/>
        </w:rPr>
        <w:t>340</w:t>
      </w:r>
      <w:r>
        <w:rPr>
          <w:rFonts w:ascii="宋体" w:hAnsi="宋体" w:cs="宋体"/>
          <w:color w:val="auto"/>
          <w:sz w:val="21"/>
          <w:szCs w:val="21"/>
        </w:rPr>
        <w:t>米。</w:t>
      </w:r>
    </w:p>
    <w:p w14:paraId="0B860A7D">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3.2餐饮标准</w:t>
      </w:r>
    </w:p>
    <w:p w14:paraId="2DB0DAB5">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（1）早餐：</w:t>
      </w:r>
    </w:p>
    <w:p w14:paraId="001A2B24">
      <w:pPr>
        <w:pStyle w:val="5"/>
        <w:widowControl w:val="0"/>
        <w:spacing w:line="360" w:lineRule="auto"/>
        <w:ind w:firstLine="400"/>
        <w:jc w:val="both"/>
        <w:rPr>
          <w:rFonts w:hint="default" w:ascii="宋体" w:hAnsi="宋体" w:cs="宋体"/>
          <w:color w:val="auto"/>
          <w:sz w:val="21"/>
          <w:szCs w:val="21"/>
        </w:rPr>
      </w:pPr>
      <w:r>
        <w:rPr>
          <w:rFonts w:ascii="宋体" w:hAnsi="宋体" w:cs="宋体"/>
          <w:color w:val="auto"/>
          <w:sz w:val="21"/>
          <w:szCs w:val="21"/>
        </w:rPr>
        <w:t>包含鸡蛋、奶制品，且至少提供一种稀饭（如米粥、杂粮粥等），并搭配四个菜（品种可灵活安排，注意分量控制）。</w:t>
      </w:r>
    </w:p>
    <w:p w14:paraId="24CBB173">
      <w:pPr>
        <w:pStyle w:val="5"/>
        <w:widowControl w:val="0"/>
        <w:spacing w:line="360" w:lineRule="auto"/>
        <w:ind w:firstLine="400"/>
        <w:jc w:val="both"/>
        <w:rPr>
          <w:rFonts w:hint="default" w:ascii="宋体" w:hAnsi="宋体" w:cs="宋体"/>
          <w:color w:val="auto"/>
          <w:sz w:val="21"/>
          <w:szCs w:val="21"/>
        </w:rPr>
      </w:pPr>
      <w:r>
        <w:rPr>
          <w:rFonts w:ascii="宋体" w:hAnsi="宋体" w:cs="宋体"/>
          <w:color w:val="auto"/>
          <w:sz w:val="21"/>
          <w:szCs w:val="21"/>
        </w:rPr>
        <w:t>（2）午餐：</w:t>
      </w:r>
    </w:p>
    <w:p w14:paraId="1E80C781">
      <w:pPr>
        <w:pStyle w:val="5"/>
        <w:widowControl w:val="0"/>
        <w:spacing w:line="360" w:lineRule="auto"/>
        <w:ind w:firstLine="400"/>
        <w:jc w:val="both"/>
        <w:rPr>
          <w:rFonts w:hint="default" w:ascii="宋体" w:hAnsi="宋体" w:cs="宋体"/>
          <w:color w:val="auto"/>
          <w:sz w:val="21"/>
          <w:szCs w:val="21"/>
        </w:rPr>
      </w:pPr>
      <w:r>
        <w:rPr>
          <w:rFonts w:ascii="宋体" w:hAnsi="宋体" w:cs="宋体"/>
          <w:color w:val="auto"/>
          <w:sz w:val="21"/>
          <w:szCs w:val="21"/>
        </w:rPr>
        <w:t>每周特色中餐不少于1种；其余工作日有2种及以上可供选择的主食，菜品不低于4种、荤菜不少于2种，含1汤，每天随餐提供水果。</w:t>
      </w:r>
    </w:p>
    <w:p w14:paraId="0B865CEE">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（3）晚餐：随机（菜品新鲜且不低于2种）。</w:t>
      </w:r>
    </w:p>
    <w:p w14:paraId="4DABE536">
      <w:pPr>
        <w:pStyle w:val="5"/>
        <w:widowControl w:val="0"/>
        <w:spacing w:line="360" w:lineRule="auto"/>
        <w:ind w:firstLine="400"/>
        <w:jc w:val="both"/>
        <w:rPr>
          <w:rFonts w:hint="default" w:ascii="宋体" w:hAnsi="宋体" w:cs="宋体"/>
          <w:color w:val="auto"/>
          <w:sz w:val="21"/>
          <w:szCs w:val="21"/>
        </w:rPr>
      </w:pPr>
      <w:r>
        <w:rPr>
          <w:rFonts w:ascii="宋体" w:hAnsi="宋体" w:cs="宋体"/>
          <w:color w:val="auto"/>
          <w:sz w:val="21"/>
          <w:szCs w:val="21"/>
        </w:rPr>
        <w:t>3.</w:t>
      </w:r>
      <w:r>
        <w:rPr>
          <w:rFonts w:hint="eastAsia" w:ascii="宋体" w:hAnsi="宋体" w:cs="宋体"/>
          <w:color w:val="auto"/>
          <w:sz w:val="21"/>
          <w:szCs w:val="21"/>
          <w:lang w:val="en-US" w:eastAsia="zh-CN"/>
        </w:rPr>
        <w:t>3</w:t>
      </w:r>
      <w:r>
        <w:rPr>
          <w:rFonts w:ascii="宋体" w:hAnsi="宋体" w:cs="宋体"/>
          <w:color w:val="auto"/>
          <w:sz w:val="21"/>
          <w:szCs w:val="21"/>
        </w:rPr>
        <w:t>整体要求：</w:t>
      </w:r>
    </w:p>
    <w:p w14:paraId="2A9DC441">
      <w:pPr>
        <w:pStyle w:val="5"/>
        <w:widowControl w:val="0"/>
        <w:spacing w:line="360" w:lineRule="auto"/>
        <w:ind w:firstLine="400"/>
        <w:jc w:val="both"/>
        <w:rPr>
          <w:rFonts w:hint="default" w:ascii="宋体" w:hAnsi="宋体" w:cs="宋体"/>
          <w:color w:val="auto"/>
          <w:sz w:val="21"/>
          <w:szCs w:val="21"/>
        </w:rPr>
      </w:pPr>
      <w:r>
        <w:rPr>
          <w:rFonts w:ascii="宋体" w:hAnsi="宋体" w:cs="宋体"/>
          <w:color w:val="auto"/>
          <w:sz w:val="21"/>
          <w:szCs w:val="21"/>
        </w:rPr>
        <w:t>食谱由采购人提供或由供应商提供经采购人审核，方可执行。菜单需定期轮换，并在每餐中提供一定选择性，保证品种丰富、不单调。</w:t>
      </w:r>
    </w:p>
    <w:p w14:paraId="3A5B8D5D">
      <w:pPr>
        <w:keepLines/>
        <w:widowControl/>
        <w:spacing w:line="360" w:lineRule="auto"/>
        <w:jc w:val="both"/>
        <w:rPr>
          <w:rFonts w:ascii="宋体" w:hAnsi="宋体" w:eastAsia="宋体" w:cs="宋体"/>
          <w:color w:val="auto"/>
          <w:lang w:eastAsia="zh-CN"/>
        </w:rPr>
      </w:pPr>
      <w:r>
        <w:rPr>
          <w:rFonts w:hint="eastAsia" w:ascii="宋体" w:hAnsi="宋体" w:eastAsia="宋体" w:cs="宋体"/>
          <w:b/>
          <w:snapToGrid/>
          <w:color w:val="auto"/>
          <w:kern w:val="2"/>
          <w:lang w:eastAsia="zh-CN"/>
        </w:rPr>
        <w:t>二、服务要求</w:t>
      </w:r>
    </w:p>
    <w:p w14:paraId="00D7C060">
      <w:pPr>
        <w:pStyle w:val="5"/>
        <w:widowControl w:val="0"/>
        <w:spacing w:line="360" w:lineRule="auto"/>
        <w:ind w:firstLine="422" w:firstLineChars="200"/>
        <w:jc w:val="left"/>
        <w:rPr>
          <w:rFonts w:hint="default" w:ascii="宋体" w:hAnsi="宋体" w:cs="宋体"/>
          <w:color w:val="auto"/>
          <w:sz w:val="21"/>
          <w:szCs w:val="21"/>
        </w:rPr>
      </w:pPr>
      <w:r>
        <w:rPr>
          <w:rFonts w:ascii="宋体" w:hAnsi="宋体" w:cs="宋体"/>
          <w:b/>
          <w:color w:val="auto"/>
          <w:sz w:val="21"/>
          <w:szCs w:val="21"/>
        </w:rPr>
        <w:t>（一）管理模式</w:t>
      </w:r>
    </w:p>
    <w:p w14:paraId="7E38B9B7">
      <w:pPr>
        <w:pStyle w:val="5"/>
        <w:widowControl w:val="0"/>
        <w:spacing w:line="360" w:lineRule="auto"/>
        <w:ind w:firstLine="420" w:firstLineChars="200"/>
        <w:jc w:val="left"/>
        <w:rPr>
          <w:rFonts w:hint="default" w:ascii="宋体" w:hAnsi="宋体" w:cs="宋体"/>
          <w:color w:val="auto"/>
          <w:sz w:val="21"/>
          <w:szCs w:val="21"/>
        </w:rPr>
      </w:pPr>
      <w:r>
        <w:rPr>
          <w:rFonts w:hint="eastAsia" w:ascii="宋体" w:hAnsi="宋体" w:cs="宋体"/>
          <w:color w:val="auto"/>
          <w:sz w:val="21"/>
          <w:szCs w:val="21"/>
          <w:lang w:val="en-US" w:eastAsia="zh-CN"/>
        </w:rPr>
        <w:t>1.</w:t>
      </w:r>
      <w:r>
        <w:rPr>
          <w:rFonts w:ascii="宋体" w:hAnsi="宋体" w:cs="宋体"/>
          <w:color w:val="auto"/>
          <w:sz w:val="21"/>
          <w:szCs w:val="21"/>
        </w:rPr>
        <w:t>由供应商委派专业厨房工作管理人员到采购人餐厅进行专业厨房运营和管理，为采购人提供膳食服务。</w:t>
      </w:r>
    </w:p>
    <w:p w14:paraId="4C918406">
      <w:pPr>
        <w:pStyle w:val="5"/>
        <w:widowControl w:val="0"/>
        <w:spacing w:line="360" w:lineRule="auto"/>
        <w:ind w:firstLine="420" w:firstLineChars="200"/>
        <w:jc w:val="left"/>
        <w:rPr>
          <w:rFonts w:hint="default" w:ascii="宋体" w:hAnsi="宋体" w:cs="宋体"/>
          <w:color w:val="auto"/>
          <w:sz w:val="21"/>
          <w:szCs w:val="21"/>
        </w:rPr>
      </w:pPr>
      <w:r>
        <w:rPr>
          <w:rFonts w:hint="eastAsia" w:ascii="宋体" w:hAnsi="宋体" w:cs="宋体"/>
          <w:color w:val="auto"/>
          <w:sz w:val="21"/>
          <w:szCs w:val="21"/>
          <w:lang w:val="en-US" w:eastAsia="zh-CN"/>
        </w:rPr>
        <w:t>2.</w:t>
      </w:r>
      <w:r>
        <w:rPr>
          <w:rFonts w:ascii="宋体" w:hAnsi="宋体" w:cs="宋体"/>
          <w:color w:val="auto"/>
          <w:sz w:val="21"/>
          <w:szCs w:val="21"/>
        </w:rPr>
        <w:t>采购人为供应商提供必要的设备、水、电、天然气及经营场地，并安排人员指导餐厅运营管理，以保证餐饮企业经营行为合法有效。</w:t>
      </w:r>
    </w:p>
    <w:p w14:paraId="05AB854E">
      <w:pPr>
        <w:pStyle w:val="5"/>
        <w:widowControl w:val="0"/>
        <w:spacing w:line="360" w:lineRule="auto"/>
        <w:ind w:firstLine="420" w:firstLineChars="200"/>
        <w:jc w:val="left"/>
        <w:rPr>
          <w:rFonts w:hint="default" w:ascii="宋体" w:hAnsi="宋体" w:cs="宋体"/>
          <w:color w:val="auto"/>
          <w:sz w:val="21"/>
          <w:szCs w:val="21"/>
        </w:rPr>
      </w:pPr>
      <w:r>
        <w:rPr>
          <w:rFonts w:hint="eastAsia" w:ascii="宋体" w:hAnsi="宋体" w:cs="宋体"/>
          <w:color w:val="auto"/>
          <w:sz w:val="21"/>
          <w:szCs w:val="21"/>
          <w:lang w:val="en-US" w:eastAsia="zh-CN"/>
        </w:rPr>
        <w:t>3.</w:t>
      </w:r>
      <w:r>
        <w:rPr>
          <w:rFonts w:ascii="宋体" w:hAnsi="宋体" w:cs="宋体"/>
          <w:color w:val="auto"/>
          <w:sz w:val="21"/>
          <w:szCs w:val="21"/>
        </w:rPr>
        <w:t>采购人负责监督供应商服务品种和价格，监督和检查餐厅的卫生安全工作，对违规行为进行处罚，抽查菜品和服务质量。</w:t>
      </w:r>
    </w:p>
    <w:p w14:paraId="7DDF106A">
      <w:pPr>
        <w:pStyle w:val="5"/>
        <w:widowControl w:val="0"/>
        <w:spacing w:line="360" w:lineRule="auto"/>
        <w:ind w:firstLine="422" w:firstLineChars="200"/>
        <w:jc w:val="left"/>
        <w:rPr>
          <w:rFonts w:hint="default" w:ascii="宋体" w:hAnsi="宋体" w:cs="宋体"/>
          <w:color w:val="auto"/>
          <w:sz w:val="21"/>
          <w:szCs w:val="21"/>
        </w:rPr>
      </w:pPr>
      <w:r>
        <w:rPr>
          <w:rFonts w:ascii="宋体" w:hAnsi="宋体" w:cs="宋体"/>
          <w:b/>
          <w:color w:val="auto"/>
          <w:sz w:val="21"/>
          <w:szCs w:val="21"/>
        </w:rPr>
        <w:t>（二）食堂管理要求</w:t>
      </w:r>
    </w:p>
    <w:p w14:paraId="6A01AAA9">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1.供应商做好所有原材料计划购买与接收保管资料记录，采购人有权随时检查；供应商选定的食材供货商需经采购人同意；</w:t>
      </w:r>
    </w:p>
    <w:p w14:paraId="1C72D947">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2.供应商负责做好食堂后厨及餐厅清洁卫生；</w:t>
      </w:r>
    </w:p>
    <w:p w14:paraId="23C1D47D">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3.供应商负责餐饮质量、现场安全生产管理等相关工作；</w:t>
      </w:r>
    </w:p>
    <w:p w14:paraId="3303D3A2">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4.供应商须根据实际用餐人数情况足额配备餐饮服务人员以保证服务质量。</w:t>
      </w:r>
    </w:p>
    <w:p w14:paraId="539A6EA3">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5.所有菜品应根据季节变化更新原料搭配，注重菜品更新；</w:t>
      </w:r>
    </w:p>
    <w:p w14:paraId="68BF5E9C">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6.餐厅食品卫生管理工作，对食品配餐间、食品加工间以及工作人员的卫生等情况进行管理；</w:t>
      </w:r>
    </w:p>
    <w:p w14:paraId="1ADE2E91">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7.餐厅食品安全管理工作，对食材入库检查、食材加工烹调、厨房餐具用具等重点环节进行重点把控；</w:t>
      </w:r>
    </w:p>
    <w:p w14:paraId="6326C307">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8.餐厅范围内的设施设备进行专人建档管理并做好日常维护；</w:t>
      </w:r>
    </w:p>
    <w:p w14:paraId="4BD9D730">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9.制定科学、严谨、明确、客观、合理的人员考核管理办法，保证考核工作有据可依、有章可循；</w:t>
      </w:r>
    </w:p>
    <w:p w14:paraId="5E6E5DCD">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10.供应商应及时支付人员工资、食材费用，确保专款专用。</w:t>
      </w:r>
    </w:p>
    <w:p w14:paraId="1F6F20C1">
      <w:pPr>
        <w:pStyle w:val="5"/>
        <w:widowControl w:val="0"/>
        <w:spacing w:line="360" w:lineRule="auto"/>
        <w:ind w:firstLine="422" w:firstLineChars="200"/>
        <w:jc w:val="both"/>
        <w:rPr>
          <w:rFonts w:hint="default" w:ascii="宋体" w:hAnsi="宋体" w:cs="宋体"/>
          <w:color w:val="auto"/>
          <w:sz w:val="21"/>
          <w:szCs w:val="21"/>
        </w:rPr>
      </w:pPr>
      <w:r>
        <w:rPr>
          <w:rFonts w:ascii="宋体" w:hAnsi="宋体" w:cs="宋体"/>
          <w:b/>
          <w:color w:val="auto"/>
          <w:sz w:val="21"/>
          <w:szCs w:val="21"/>
        </w:rPr>
        <w:t>（三）餐厅人员要求及标准:</w:t>
      </w:r>
    </w:p>
    <w:p w14:paraId="6C1795F9">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餐厅服务人员人数应确保院机关和各基层法庭的正常供餐，服务人员应满足以下条件：</w:t>
      </w:r>
    </w:p>
    <w:p w14:paraId="19C9162E">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1.凡食品生产经营人员应按照相关规定进行健康检查，取得健康证明后方可参加工作，</w:t>
      </w:r>
      <w:r>
        <w:rPr>
          <w:rFonts w:ascii="宋体" w:hAnsi="宋体" w:cs="宋体"/>
          <w:color w:val="auto"/>
          <w:sz w:val="21"/>
          <w:szCs w:val="21"/>
        </w:rPr>
        <w:t>人员必须身体健康，无伤残或重大疾病，无各种遗传性疾病。</w:t>
      </w:r>
    </w:p>
    <w:p w14:paraId="1DE60087">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2.凡患有痢疾、伤寒、病毒性肝炎等消化道传染病（包括病原携带者），活动性肺结核，化脓性或者渗出性皮肤病及其他有碍食品卫生的疾病，不得从事接触直接入口食品工作；</w:t>
      </w:r>
    </w:p>
    <w:p w14:paraId="620926A9">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3.凡食品从业人员手部有开放性、感染性伤口，必须调离工作岗位；</w:t>
      </w:r>
    </w:p>
    <w:p w14:paraId="1C12136D">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4.人员须提供入职人员档案、身份证复印件、员工花名册以及对应照片、保险、健康证明、无犯罪记录证明等，</w:t>
      </w:r>
    </w:p>
    <w:p w14:paraId="7430B4EB">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5.人员应为年龄18周岁以上的中国公民，品行良好，遵纪守法，无犯罪记录或治安处罚记录。</w:t>
      </w:r>
    </w:p>
    <w:p w14:paraId="0B8A6D3D">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6.人员应具备相应岗位的工作能力和工作经验，</w:t>
      </w:r>
      <w:r>
        <w:rPr>
          <w:rFonts w:ascii="宋体" w:hAnsi="宋体" w:cs="宋体"/>
          <w:color w:val="auto"/>
          <w:sz w:val="21"/>
          <w:szCs w:val="21"/>
        </w:rPr>
        <w:t>技术水平过硬，能够保证出品质量</w:t>
      </w:r>
      <w:r>
        <w:rPr>
          <w:rFonts w:ascii="宋体" w:hAnsi="宋体" w:cs="宋体"/>
          <w:color w:val="auto"/>
          <w:sz w:val="21"/>
          <w:szCs w:val="21"/>
        </w:rPr>
        <w:t>；</w:t>
      </w:r>
    </w:p>
    <w:p w14:paraId="16DE57A3">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7.供应商所配备员工年龄必须遵守国家劳动法规定的年龄要求。</w:t>
      </w:r>
    </w:p>
    <w:p w14:paraId="3C422DFB">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8.供应商须为本项目配备专业维修工保障设备及水电维修。</w:t>
      </w:r>
    </w:p>
    <w:p w14:paraId="32721BA0">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9.餐厅所有员工由供应商自行招聘，餐厅员工的工资和福利均由供应商承担。</w:t>
      </w:r>
    </w:p>
    <w:p w14:paraId="3848B24D">
      <w:pPr>
        <w:pStyle w:val="5"/>
        <w:widowControl w:val="0"/>
        <w:spacing w:line="360" w:lineRule="auto"/>
        <w:ind w:firstLine="211" w:firstLineChars="100"/>
        <w:jc w:val="both"/>
        <w:rPr>
          <w:rFonts w:hint="default" w:ascii="宋体" w:hAnsi="宋体" w:cs="宋体"/>
          <w:color w:val="auto"/>
          <w:sz w:val="21"/>
          <w:szCs w:val="21"/>
        </w:rPr>
      </w:pPr>
      <w:r>
        <w:rPr>
          <w:rFonts w:ascii="宋体" w:hAnsi="宋体" w:cs="宋体"/>
          <w:b/>
          <w:color w:val="auto"/>
          <w:sz w:val="21"/>
          <w:szCs w:val="21"/>
        </w:rPr>
        <w:t>（</w:t>
      </w:r>
      <w:r>
        <w:rPr>
          <w:rFonts w:hint="eastAsia" w:ascii="宋体" w:hAnsi="宋体" w:cs="宋体"/>
          <w:b/>
          <w:color w:val="auto"/>
          <w:sz w:val="21"/>
          <w:szCs w:val="21"/>
          <w:lang w:val="en-US" w:eastAsia="zh-CN"/>
        </w:rPr>
        <w:t>四</w:t>
      </w:r>
      <w:r>
        <w:rPr>
          <w:rFonts w:ascii="宋体" w:hAnsi="宋体" w:cs="宋体"/>
          <w:b/>
          <w:color w:val="auto"/>
          <w:sz w:val="21"/>
          <w:szCs w:val="21"/>
        </w:rPr>
        <w:t>）卫生要求</w:t>
      </w:r>
    </w:p>
    <w:p w14:paraId="3351F4FA">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1.厨房内配备防蝇、防鼠措施和设施。</w:t>
      </w:r>
    </w:p>
    <w:p w14:paraId="68C8C532">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2.连接餐厅的通道干净整洁，地面无积水和油腻。</w:t>
      </w:r>
    </w:p>
    <w:p w14:paraId="4575F272">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3.灶台和橱柜清洁完好，无破损，无油垢，无垃圾，橱柜内各种用具用品摆放有序，无私人用品。</w:t>
      </w:r>
    </w:p>
    <w:p w14:paraId="598F44B5">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4.排烟罩清洁完好，罩面、滤油网以及里面的照明灯具均无油垢，有定期擦排烟罩和清洗滤油网的措施。</w:t>
      </w:r>
    </w:p>
    <w:p w14:paraId="0AF8C521">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5.调料缸干净整洁，各种调料充足，不变质，用餐结束时坚持加盖盖好。</w:t>
      </w:r>
    </w:p>
    <w:p w14:paraId="53BA6277">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6.砧板清洁，无霉斑积垢，用餐结束时，要竖放或置于两面通风处。</w:t>
      </w:r>
    </w:p>
    <w:p w14:paraId="658E9F9F">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7.刀具清洁无锈迹，有安全的存放刀架，并实行个人保管制度。</w:t>
      </w:r>
    </w:p>
    <w:p w14:paraId="1C7A9D83">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8.冰箱(冰柜、冷藏柜、保鲜柜)清洁完好，有定期的清理和除霜制度,表面无锈迹，无油垢，无破损；冰箱内干净，无积水，无异味，摆放整齐，严格做到鱼肉分开、荤素分开、生熟分开、成品和半成品分开；无私人物品，并由专人管理。</w:t>
      </w:r>
    </w:p>
    <w:p w14:paraId="51025C0F">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9.所有炊具、盛器、餐具清洁完好，无破损，无油垢。</w:t>
      </w:r>
    </w:p>
    <w:p w14:paraId="161A6A91">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10.厨房的四壁、天花板干净整洁、无破损，地面、排水沟、无积水、无油垢、无积尘、无垃圾、无破损。</w:t>
      </w:r>
    </w:p>
    <w:p w14:paraId="1A5C3AD0">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11.厨房门窗清洁完好，无油垢、无积尘、无破损。</w:t>
      </w:r>
    </w:p>
    <w:p w14:paraId="77B22E56">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12.垃圾箱(桶)加盖盖好，四周无散积垃圾，及时清运。</w:t>
      </w:r>
    </w:p>
    <w:p w14:paraId="571FCBD0">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13.厨房内四害密度控制在标准要求内，有定期的除害打药措施。</w:t>
      </w:r>
    </w:p>
    <w:p w14:paraId="532D2A19">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14.餐厅和操作间的病媒防治工作，必须聘请具有专业资质的病媒防治专业消杀灭公司具体组织实施，并将消杀灭公司资质报采购人备案留存，消杀灭所产生的费用由采购人承担。</w:t>
      </w:r>
    </w:p>
    <w:p w14:paraId="747BD24C">
      <w:pPr>
        <w:pStyle w:val="5"/>
        <w:keepLines/>
        <w:widowControl/>
        <w:spacing w:line="360" w:lineRule="auto"/>
        <w:ind w:firstLine="211" w:firstLineChars="100"/>
        <w:jc w:val="both"/>
        <w:rPr>
          <w:rFonts w:hint="default" w:ascii="宋体" w:hAnsi="宋体" w:cs="宋体"/>
          <w:b/>
          <w:color w:val="auto"/>
          <w:sz w:val="21"/>
          <w:szCs w:val="21"/>
        </w:rPr>
      </w:pPr>
      <w:r>
        <w:rPr>
          <w:rFonts w:ascii="宋体" w:hAnsi="宋体" w:cs="宋体"/>
          <w:b/>
          <w:color w:val="auto"/>
          <w:sz w:val="21"/>
          <w:szCs w:val="21"/>
        </w:rPr>
        <w:t>（</w:t>
      </w:r>
      <w:r>
        <w:rPr>
          <w:rFonts w:hint="eastAsia" w:ascii="宋体" w:hAnsi="宋体" w:cs="宋体"/>
          <w:b/>
          <w:color w:val="auto"/>
          <w:sz w:val="21"/>
          <w:szCs w:val="21"/>
          <w:lang w:val="en-US" w:eastAsia="zh-CN"/>
        </w:rPr>
        <w:t>五</w:t>
      </w:r>
      <w:r>
        <w:rPr>
          <w:rFonts w:ascii="宋体" w:hAnsi="宋体" w:cs="宋体"/>
          <w:b/>
          <w:color w:val="auto"/>
          <w:sz w:val="21"/>
          <w:szCs w:val="21"/>
        </w:rPr>
        <w:t>）安全生产要求</w:t>
      </w:r>
    </w:p>
    <w:p w14:paraId="1E4B42C7">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（一）供应商承担在履行服务过程中的全部安全责任。</w:t>
      </w:r>
    </w:p>
    <w:p w14:paraId="7AA2EE41">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（二）供应商应严格遵守《中华人民共和国食品安全法》：</w:t>
      </w:r>
    </w:p>
    <w:p w14:paraId="535A2672">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1.原材料验收由供应商验收，供应商必须确保所有采购的原材料符合采购人要求和标准，不得采购劣质、过期或““三无”产品”，禁止采购不符合国家食品标准要求的食材和法律法规禁止生产经营的其他食品、食品添加剂等，采购人有权对供应商采购的原材料进行监管和抽查，凡采购人发现采购不符合规定要求或劣质、过期或“三无”产品，有权进行直接处罚，处罚标准在考核细则中明确。</w:t>
      </w:r>
    </w:p>
    <w:p w14:paraId="3FA04292">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2.不得采购、加工霉烂变质商品或不正常、不卫生的食品在本食堂销售、食用和饮用，严格执行食品卫生法规定。</w:t>
      </w:r>
    </w:p>
    <w:p w14:paraId="1AA672EE">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3.因供应商管理问题造成就餐者食物中毒，供应商承担全部责任。</w:t>
      </w:r>
    </w:p>
    <w:p w14:paraId="08467912">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三）供应商须加强安全生产宣传教育，建立健全各项安全生产的管理机制和安全生产管理制度；教育员工严格遵守安全操作规程，由此引发的一切安全事故及安全责任，由供应商承担；供应商须制订生产安全事故应急救援预案及紧急事故处置应急预案，采购人监督供应商定期组织应急预案演练活动。</w:t>
      </w:r>
    </w:p>
    <w:p w14:paraId="12FA590E">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（四）供应商员工因工或非因工发生的人身伤、残、亡或财产损失的，由供应商负责处理。如供应商违约造成安全事故，供应商承担全部责任，触犯法律的，移送司法机关依法追究责任。</w:t>
      </w:r>
    </w:p>
    <w:p w14:paraId="4E2128FF">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（五）意外事故承担：</w:t>
      </w:r>
    </w:p>
    <w:p w14:paraId="77D7FD43">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1.就餐者在就餐过程中，因餐厅地面打扫不及时而导致的摔倒、磕伤、碰伤等引起的一切问题由供应商负责。</w:t>
      </w:r>
    </w:p>
    <w:p w14:paraId="33CAA13A">
      <w:pPr>
        <w:pStyle w:val="5"/>
        <w:keepLines/>
        <w:widowControl/>
        <w:spacing w:line="360" w:lineRule="auto"/>
        <w:ind w:firstLine="420" w:firstLineChars="200"/>
        <w:jc w:val="both"/>
        <w:rPr>
          <w:rFonts w:hint="default" w:ascii="宋体" w:hAnsi="宋体" w:cs="宋体"/>
          <w:b/>
          <w:color w:val="auto"/>
          <w:sz w:val="21"/>
          <w:szCs w:val="21"/>
        </w:rPr>
      </w:pPr>
      <w:r>
        <w:rPr>
          <w:rFonts w:ascii="宋体" w:hAnsi="宋体" w:cs="宋体"/>
          <w:color w:val="auto"/>
          <w:sz w:val="21"/>
          <w:szCs w:val="21"/>
        </w:rPr>
        <w:t>2.凡因原材料清洗不干净或程序不规范造成食物中毒或其他问题所引发的全部责任由供应商承担。</w:t>
      </w:r>
    </w:p>
    <w:p w14:paraId="0929CBB5">
      <w:pPr>
        <w:pStyle w:val="5"/>
        <w:widowControl w:val="0"/>
        <w:spacing w:line="360" w:lineRule="auto"/>
        <w:ind w:firstLine="211" w:firstLineChars="100"/>
        <w:jc w:val="both"/>
        <w:rPr>
          <w:rFonts w:hint="default" w:ascii="宋体" w:hAnsi="宋体" w:cs="宋体"/>
          <w:color w:val="auto"/>
          <w:sz w:val="21"/>
          <w:szCs w:val="21"/>
        </w:rPr>
      </w:pPr>
      <w:r>
        <w:rPr>
          <w:rFonts w:ascii="宋体" w:hAnsi="宋体" w:cs="宋体"/>
          <w:b/>
          <w:color w:val="auto"/>
          <w:sz w:val="21"/>
          <w:szCs w:val="21"/>
        </w:rPr>
        <w:t>（</w:t>
      </w:r>
      <w:r>
        <w:rPr>
          <w:rFonts w:hint="eastAsia" w:ascii="宋体" w:hAnsi="宋体" w:cs="宋体"/>
          <w:b/>
          <w:color w:val="auto"/>
          <w:sz w:val="21"/>
          <w:szCs w:val="21"/>
          <w:lang w:val="en-US" w:eastAsia="zh-CN"/>
        </w:rPr>
        <w:t>六</w:t>
      </w:r>
      <w:r>
        <w:rPr>
          <w:rFonts w:ascii="宋体" w:hAnsi="宋体" w:cs="宋体"/>
          <w:b/>
          <w:color w:val="auto"/>
          <w:sz w:val="21"/>
          <w:szCs w:val="21"/>
        </w:rPr>
        <w:t>）消防安全管理要求</w:t>
      </w:r>
    </w:p>
    <w:p w14:paraId="6F7A4325">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1.在营业期间，保障安全出口、疏散通道畅通无阻，消防安全疏散标志要随时完好；</w:t>
      </w:r>
    </w:p>
    <w:p w14:paraId="30CD32A1">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2.供应商所属工作人员必须做到“四懂四会”，即懂得本岗位的火灾危险性、懂得预防火灾的措施、懂得扑救火灾的方法、懂得逃生自救方法；会报警，会使用消防器材，会扑救初起火灾，会组织引导人员疏散；</w:t>
      </w:r>
    </w:p>
    <w:p w14:paraId="4716F680">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3.电器设备使用时严格遵守操作规程，操作人员使用前必须熟悉操作程序，出现故障时及时处理。未经安全负责人同意，不得随意布置电源线路和安装使用大功率电气设备；</w:t>
      </w:r>
    </w:p>
    <w:p w14:paraId="0E8ABA04">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4.不得擅自改、装设施、设备，以免引发火险事故；确需进行改装的需提前上报至采购人，由采购人进行核实确认后进行改装；</w:t>
      </w:r>
    </w:p>
    <w:p w14:paraId="082C188E">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5.餐厅配备的消防设施和灭火器材，必须随时保持完好有效，不准随意的挪动和损坏，如发现有异常情况应及时向相关负责部门上报；</w:t>
      </w:r>
    </w:p>
    <w:p w14:paraId="4B485555">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6.常态化检查炉灶的各部位，发现阀门堵塞、失灵、胶管老化等问题，要立即停用修理。如发现室内有液化气气味，要立即关闭炉灶开关和角阀，切断气源，及时打开窗户，严禁在周围吸烟、点火或启动电器开关。检查漏点可用肥皂水，严禁使用明火试漏；</w:t>
      </w:r>
    </w:p>
    <w:p w14:paraId="15B69FB0">
      <w:pPr>
        <w:pStyle w:val="5"/>
        <w:widowControl w:val="0"/>
        <w:spacing w:line="360" w:lineRule="auto"/>
        <w:ind w:firstLine="420" w:firstLineChars="200"/>
        <w:jc w:val="left"/>
        <w:rPr>
          <w:rFonts w:hint="default" w:ascii="宋体" w:hAnsi="宋体" w:cs="宋体"/>
          <w:color w:val="auto"/>
          <w:sz w:val="21"/>
          <w:szCs w:val="21"/>
        </w:rPr>
      </w:pPr>
      <w:r>
        <w:rPr>
          <w:rFonts w:ascii="宋体" w:hAnsi="宋体" w:cs="宋体"/>
          <w:color w:val="auto"/>
          <w:sz w:val="21"/>
          <w:szCs w:val="21"/>
        </w:rPr>
        <w:t>（7）工作结束后，操作人员及时关闭厨房所有阀门，切断气源、火源和电源。</w:t>
      </w:r>
    </w:p>
    <w:p w14:paraId="166D003F">
      <w:pPr>
        <w:keepLines/>
        <w:widowControl/>
        <w:spacing w:line="360" w:lineRule="auto"/>
        <w:jc w:val="both"/>
        <w:rPr>
          <w:rFonts w:ascii="宋体" w:hAnsi="宋体" w:eastAsia="宋体" w:cs="宋体"/>
          <w:b/>
          <w:snapToGrid/>
          <w:color w:val="auto"/>
          <w:lang w:eastAsia="zh-CN"/>
        </w:rPr>
      </w:pPr>
      <w:r>
        <w:rPr>
          <w:rFonts w:hint="eastAsia" w:ascii="宋体" w:hAnsi="宋体" w:eastAsia="宋体" w:cs="宋体"/>
          <w:b/>
          <w:snapToGrid/>
          <w:color w:val="auto"/>
          <w:lang w:eastAsia="zh-CN"/>
        </w:rPr>
        <w:t>三、服务质量标准</w:t>
      </w:r>
    </w:p>
    <w:p w14:paraId="7BD089F5">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（一）在业务履行过程中要服从采购人对生产场地、工作及生活环境的安排和要求，严格执行采购现场标准的相关管理规定，并接受采购人的考核。</w:t>
      </w:r>
    </w:p>
    <w:p w14:paraId="3E6EB6B6">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（二）餐具保持完好率（指餐具无裂缝、豁口或破损）在98%以上。如有破损所更换碗、筷子质量必须按采购人要求和规格进行更换，所需费用均由供应商承担。</w:t>
      </w:r>
    </w:p>
    <w:p w14:paraId="2676E068">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（三）厨具中菜刀、铁锅、菜墩、炒勺等小件厨具补充更新，必须按采购要求进行同质量、同品牌进行更换，所需费用均由供应商承担。</w:t>
      </w:r>
    </w:p>
    <w:p w14:paraId="6587782D">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（四）桌布、纸巾、洗洁精等低值易耗品更新补充由供应商自行更换补充并承担支付费用。</w:t>
      </w:r>
    </w:p>
    <w:p w14:paraId="4275066A">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（五）宣传展板和标志标识等需定期更换，所需费用由供应商承担。</w:t>
      </w:r>
    </w:p>
    <w:p w14:paraId="1EAE69DE">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（六）供应商对采购人所配设备及餐具用品需要更换或报废时，必须报采购人许可。合同期满或供应商提前退出时，设备交接必须保持完好率100%，且设备为采购人所配置原品牌同等级，不得私自更换。</w:t>
      </w:r>
    </w:p>
    <w:p w14:paraId="3AD0CD62">
      <w:pPr>
        <w:pStyle w:val="5"/>
        <w:widowControl w:val="0"/>
        <w:spacing w:line="360" w:lineRule="auto"/>
        <w:jc w:val="both"/>
        <w:rPr>
          <w:rFonts w:hint="default" w:ascii="宋体" w:hAnsi="宋体" w:cs="宋体"/>
          <w:color w:val="auto"/>
          <w:sz w:val="21"/>
          <w:szCs w:val="21"/>
        </w:rPr>
      </w:pPr>
      <w:r>
        <w:rPr>
          <w:rFonts w:ascii="宋体" w:hAnsi="宋体" w:cs="宋体"/>
          <w:b/>
          <w:color w:val="auto"/>
          <w:sz w:val="21"/>
          <w:szCs w:val="21"/>
        </w:rPr>
        <w:t>四、费用说明</w:t>
      </w:r>
    </w:p>
    <w:p w14:paraId="35F5CB3A">
      <w:pPr>
        <w:pStyle w:val="5"/>
        <w:widowControl w:val="0"/>
        <w:spacing w:line="360" w:lineRule="auto"/>
        <w:ind w:firstLine="420" w:firstLineChars="200"/>
        <w:jc w:val="both"/>
        <w:rPr>
          <w:rFonts w:hint="default" w:ascii="宋体" w:hAnsi="宋体" w:cs="宋体"/>
          <w:color w:val="auto"/>
          <w:sz w:val="21"/>
          <w:szCs w:val="21"/>
        </w:rPr>
      </w:pPr>
      <w:r>
        <w:rPr>
          <w:rFonts w:ascii="宋体" w:hAnsi="宋体" w:cs="宋体"/>
          <w:color w:val="auto"/>
          <w:sz w:val="21"/>
          <w:szCs w:val="21"/>
        </w:rPr>
        <w:t>（一）</w:t>
      </w:r>
      <w:r>
        <w:rPr>
          <w:rFonts w:hint="eastAsia" w:ascii="宋体" w:hAnsi="宋体" w:eastAsia="宋体" w:cs="宋体"/>
          <w:i w:val="0"/>
          <w:iCs w:val="0"/>
          <w:caps w:val="0"/>
          <w:color w:val="333333"/>
          <w:spacing w:val="0"/>
          <w:sz w:val="21"/>
          <w:szCs w:val="21"/>
        </w:rPr>
        <w:t>本项目</w:t>
      </w:r>
      <w:r>
        <w:rPr>
          <w:rFonts w:ascii="宋体" w:hAnsi="宋体" w:cs="宋体"/>
          <w:color w:val="auto"/>
          <w:sz w:val="21"/>
          <w:szCs w:val="21"/>
        </w:rPr>
        <w:t>服务费用主要由食材采购费用及劳务费用构成，均由供应商承担。</w:t>
      </w:r>
    </w:p>
    <w:p w14:paraId="7BB56E95">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（二）供应商应每天保证采购人164名正式干警或省聘书记员在食堂就餐，采购人方可足额支付食材采购费用。未达到人数要求，扣减相应费用。</w:t>
      </w:r>
    </w:p>
    <w:p w14:paraId="391C184E">
      <w:pPr>
        <w:pStyle w:val="5"/>
        <w:widowControl w:val="0"/>
        <w:spacing w:line="360" w:lineRule="auto"/>
        <w:ind w:firstLine="420"/>
        <w:jc w:val="both"/>
        <w:rPr>
          <w:rFonts w:hint="default" w:ascii="宋体" w:hAnsi="宋体" w:cs="宋体"/>
          <w:color w:val="auto"/>
          <w:sz w:val="21"/>
          <w:szCs w:val="21"/>
        </w:rPr>
      </w:pPr>
      <w:r>
        <w:rPr>
          <w:rFonts w:ascii="宋体" w:hAnsi="宋体" w:cs="宋体"/>
          <w:color w:val="auto"/>
          <w:sz w:val="21"/>
          <w:szCs w:val="21"/>
        </w:rPr>
        <w:t>（三）其他需说明费用</w:t>
      </w:r>
    </w:p>
    <w:p w14:paraId="3F13FD1E">
      <w:pPr>
        <w:pStyle w:val="5"/>
        <w:widowControl w:val="0"/>
        <w:spacing w:line="360" w:lineRule="auto"/>
        <w:ind w:firstLine="420"/>
        <w:jc w:val="both"/>
        <w:rPr>
          <w:rFonts w:hint="default" w:ascii="宋体" w:hAns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1.保障供餐的基础设备及餐具初次由采购人配齐，餐厅桌椅维修、灯光照明设备维修费用由采购人承担。</w:t>
      </w:r>
    </w:p>
    <w:p w14:paraId="5E415B83">
      <w:pPr>
        <w:pStyle w:val="5"/>
        <w:widowControl w:val="0"/>
        <w:spacing w:line="360" w:lineRule="auto"/>
        <w:ind w:firstLine="420"/>
        <w:jc w:val="both"/>
        <w:rPr>
          <w:rFonts w:hint="default" w:ascii="宋体" w:hAns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2.餐厅工作人员业务培训费用由供应商承担。</w:t>
      </w:r>
    </w:p>
    <w:p w14:paraId="76A63809">
      <w:pPr>
        <w:pStyle w:val="5"/>
        <w:widowControl w:val="0"/>
        <w:spacing w:line="360" w:lineRule="auto"/>
        <w:ind w:firstLine="420"/>
        <w:jc w:val="both"/>
        <w:rPr>
          <w:rFonts w:hint="default" w:ascii="宋体" w:hAns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3.其他费用由供应商承担，均摊到劳务费用和原材料采购费用中。</w:t>
      </w:r>
      <w:bookmarkStart w:id="2" w:name="_GoBack"/>
      <w:bookmarkEnd w:id="2"/>
    </w:p>
    <w:p w14:paraId="718873CC">
      <w:pPr>
        <w:pStyle w:val="5"/>
        <w:widowControl w:val="0"/>
        <w:spacing w:line="360" w:lineRule="auto"/>
        <w:jc w:val="both"/>
        <w:rPr>
          <w:rFonts w:hint="default" w:ascii="宋体" w:hAnsi="宋体" w:cs="宋体"/>
          <w:color w:val="auto"/>
          <w:sz w:val="21"/>
          <w:szCs w:val="21"/>
        </w:rPr>
      </w:pPr>
      <w:r>
        <w:rPr>
          <w:rFonts w:hint="eastAsia" w:ascii="宋体" w:hAnsi="宋体" w:cs="宋体"/>
          <w:b/>
          <w:bCs/>
          <w:color w:val="auto"/>
          <w:sz w:val="21"/>
          <w:szCs w:val="21"/>
          <w:lang w:val="en-US" w:eastAsia="zh-CN"/>
        </w:rPr>
        <w:t>五</w:t>
      </w:r>
      <w:r>
        <w:rPr>
          <w:rFonts w:ascii="宋体" w:hAnsi="宋体" w:cs="宋体"/>
          <w:b/>
          <w:bCs/>
          <w:color w:val="auto"/>
          <w:sz w:val="21"/>
          <w:szCs w:val="21"/>
        </w:rPr>
        <w:t>、服务、产品（如有）执行的标准、规范：</w:t>
      </w:r>
    </w:p>
    <w:p w14:paraId="7F78DD73">
      <w:pPr>
        <w:pStyle w:val="5"/>
        <w:widowControl w:val="0"/>
        <w:spacing w:line="360" w:lineRule="auto"/>
        <w:ind w:firstLine="350"/>
        <w:jc w:val="both"/>
        <w:rPr>
          <w:rFonts w:hint="default" w:ascii="宋体" w:hAnsi="宋体" w:cs="宋体"/>
          <w:color w:val="auto"/>
          <w:sz w:val="21"/>
          <w:szCs w:val="21"/>
        </w:rPr>
      </w:pPr>
      <w:r>
        <w:rPr>
          <w:rFonts w:ascii="宋体" w:hAnsi="宋体" w:cs="宋体"/>
          <w:color w:val="auto"/>
          <w:sz w:val="21"/>
          <w:szCs w:val="21"/>
        </w:rPr>
        <w:t>（1）国家标准、规范/；</w:t>
      </w:r>
    </w:p>
    <w:p w14:paraId="7C5BEB18">
      <w:pPr>
        <w:pStyle w:val="5"/>
        <w:widowControl w:val="0"/>
        <w:spacing w:line="360" w:lineRule="auto"/>
        <w:ind w:firstLine="350"/>
        <w:jc w:val="both"/>
        <w:rPr>
          <w:rFonts w:hint="default" w:ascii="宋体" w:hAnsi="宋体" w:cs="宋体"/>
          <w:color w:val="auto"/>
          <w:sz w:val="21"/>
          <w:szCs w:val="21"/>
        </w:rPr>
      </w:pPr>
      <w:r>
        <w:rPr>
          <w:rFonts w:ascii="宋体" w:hAnsi="宋体" w:cs="宋体"/>
          <w:color w:val="auto"/>
          <w:sz w:val="21"/>
          <w:szCs w:val="21"/>
        </w:rPr>
        <w:t>（2）行业标准、规范/；</w:t>
      </w:r>
    </w:p>
    <w:p w14:paraId="0BE94E6C">
      <w:pPr>
        <w:pStyle w:val="5"/>
        <w:widowControl w:val="0"/>
        <w:spacing w:line="360" w:lineRule="auto"/>
        <w:ind w:firstLine="350"/>
        <w:jc w:val="both"/>
        <w:rPr>
          <w:rFonts w:hint="default" w:ascii="宋体" w:hAnsi="宋体" w:cs="宋体"/>
          <w:color w:val="auto"/>
          <w:sz w:val="21"/>
          <w:szCs w:val="21"/>
        </w:rPr>
      </w:pPr>
      <w:r>
        <w:rPr>
          <w:rFonts w:ascii="宋体" w:hAnsi="宋体" w:cs="宋体"/>
          <w:color w:val="auto"/>
          <w:sz w:val="21"/>
          <w:szCs w:val="21"/>
        </w:rPr>
        <w:t>（3）地方标准、规范/；</w:t>
      </w:r>
    </w:p>
    <w:p w14:paraId="3370E760">
      <w:pPr>
        <w:pStyle w:val="5"/>
        <w:widowControl w:val="0"/>
        <w:spacing w:line="360" w:lineRule="auto"/>
        <w:ind w:firstLine="350"/>
        <w:jc w:val="both"/>
        <w:rPr>
          <w:rFonts w:hint="default" w:ascii="宋体" w:hAnsi="宋体" w:cs="宋体"/>
          <w:color w:val="auto"/>
          <w:sz w:val="21"/>
          <w:szCs w:val="21"/>
        </w:rPr>
      </w:pPr>
      <w:r>
        <w:rPr>
          <w:rFonts w:ascii="宋体" w:hAnsi="宋体" w:cs="宋体"/>
          <w:color w:val="auto"/>
          <w:sz w:val="21"/>
          <w:szCs w:val="21"/>
        </w:rPr>
        <w:t>（4）团体标准、规范/；</w:t>
      </w:r>
    </w:p>
    <w:p w14:paraId="7C772B38">
      <w:pPr>
        <w:pStyle w:val="5"/>
        <w:widowControl w:val="0"/>
        <w:spacing w:line="360" w:lineRule="auto"/>
        <w:ind w:firstLine="350"/>
        <w:jc w:val="both"/>
        <w:rPr>
          <w:rFonts w:hint="default" w:ascii="宋体" w:hAnsi="宋体" w:cs="宋体"/>
          <w:color w:val="auto"/>
          <w:sz w:val="21"/>
          <w:szCs w:val="21"/>
        </w:rPr>
      </w:pPr>
      <w:r>
        <w:rPr>
          <w:rFonts w:ascii="宋体" w:hAnsi="宋体" w:cs="宋体"/>
          <w:color w:val="auto"/>
          <w:sz w:val="21"/>
          <w:szCs w:val="21"/>
        </w:rPr>
        <w:t>（5）企业标准、规范/。</w:t>
      </w:r>
    </w:p>
    <w:p w14:paraId="2F352AB3">
      <w:pPr>
        <w:pStyle w:val="5"/>
        <w:widowControl w:val="0"/>
        <w:spacing w:line="360" w:lineRule="auto"/>
        <w:jc w:val="both"/>
        <w:rPr>
          <w:rFonts w:hint="default" w:ascii="宋体" w:hAnsi="宋体" w:cs="宋体"/>
          <w:b/>
          <w:bCs/>
          <w:color w:val="auto"/>
          <w:sz w:val="21"/>
          <w:szCs w:val="21"/>
        </w:rPr>
      </w:pPr>
      <w:r>
        <w:rPr>
          <w:rFonts w:hint="eastAsia" w:ascii="宋体" w:hAnsi="宋体" w:cs="宋体"/>
          <w:b/>
          <w:bCs/>
          <w:color w:val="auto"/>
          <w:sz w:val="21"/>
          <w:szCs w:val="21"/>
          <w:lang w:val="en-US" w:eastAsia="zh-CN"/>
        </w:rPr>
        <w:t>六、</w:t>
      </w:r>
      <w:r>
        <w:rPr>
          <w:rFonts w:ascii="宋体" w:hAnsi="宋体" w:cs="宋体"/>
          <w:b/>
          <w:bCs/>
          <w:color w:val="auto"/>
          <w:sz w:val="21"/>
          <w:szCs w:val="21"/>
        </w:rPr>
        <w:t>本章第</w:t>
      </w:r>
      <w:r>
        <w:rPr>
          <w:rFonts w:hint="eastAsia" w:ascii="宋体" w:hAnsi="宋体" w:cs="宋体"/>
          <w:b/>
          <w:bCs/>
          <w:color w:val="auto"/>
          <w:sz w:val="21"/>
          <w:szCs w:val="21"/>
          <w:lang w:val="en-US" w:eastAsia="zh-CN"/>
        </w:rPr>
        <w:t>五</w:t>
      </w:r>
      <w:r>
        <w:rPr>
          <w:rFonts w:ascii="宋体" w:hAnsi="宋体" w:cs="宋体"/>
          <w:b/>
          <w:bCs/>
          <w:color w:val="auto"/>
          <w:sz w:val="21"/>
          <w:szCs w:val="21"/>
        </w:rPr>
        <w:t>条款未明确服务（产品）执行标准、规范的，按下列方法进行选择：</w:t>
      </w:r>
    </w:p>
    <w:p w14:paraId="23C6223C">
      <w:pPr>
        <w:pStyle w:val="5"/>
        <w:widowControl w:val="0"/>
        <w:spacing w:line="360" w:lineRule="auto"/>
        <w:ind w:firstLine="350"/>
        <w:jc w:val="both"/>
        <w:rPr>
          <w:rFonts w:hint="default" w:ascii="宋体" w:hAnsi="宋体" w:cs="宋体"/>
          <w:color w:val="auto"/>
          <w:sz w:val="21"/>
          <w:szCs w:val="21"/>
        </w:rPr>
      </w:pPr>
      <w:r>
        <w:rPr>
          <w:rFonts w:ascii="宋体" w:hAnsi="宋体" w:cs="宋体"/>
          <w:color w:val="auto"/>
          <w:sz w:val="21"/>
          <w:szCs w:val="21"/>
        </w:rPr>
        <w:t>□顺序执行： 国家标准→行业标准→地方标准→ 团体标准→企业 标 准（有国家标准按国家标准执行，没有国家标准按行业标准， 以此类推）；</w:t>
      </w:r>
    </w:p>
    <w:p w14:paraId="659B45C6">
      <w:pPr>
        <w:pStyle w:val="5"/>
        <w:widowControl w:val="0"/>
        <w:spacing w:line="360" w:lineRule="auto"/>
        <w:ind w:firstLine="350"/>
        <w:jc w:val="both"/>
        <w:rPr>
          <w:rFonts w:hint="default" w:ascii="宋体" w:hAnsi="宋体" w:cs="宋体"/>
          <w:color w:val="auto"/>
          <w:sz w:val="21"/>
          <w:szCs w:val="21"/>
        </w:rPr>
      </w:pPr>
      <w:r>
        <w:rPr>
          <w:rFonts w:ascii="宋体" w:hAnsi="宋体" w:cs="宋体"/>
          <w:color w:val="auto"/>
          <w:sz w:val="21"/>
          <w:szCs w:val="21"/>
        </w:rPr>
        <w:t>□最高标准执行：国家标准，行业标准，地方标准，团体标准，企业标准（哪个标准高执行哪个标准）</w:t>
      </w:r>
    </w:p>
    <w:p w14:paraId="61C9AF2F">
      <w:pPr>
        <w:ind w:firstLine="420" w:firstLineChars="200"/>
        <w:rPr>
          <w:color w:val="auto"/>
        </w:rPr>
      </w:pPr>
      <w:r>
        <w:rPr>
          <w:rFonts w:ascii="宋体" w:hAnsi="宋体" w:cs="宋体"/>
          <w:color w:val="auto"/>
          <w:sz w:val="21"/>
          <w:szCs w:val="21"/>
        </w:rPr>
        <w:t>☑必须执行：国家（行业）强制性标准。</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062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2026-06-05T13:06:03Z</dcterms:created>
  <dc:creator>LX</dc:creator>
  <cp:lastModifiedBy>Lenovo</cp:lastModifiedBy>
  <dcterms:modified xsi:type="dcterms:W3CDTF">2026-06-05T14:20:58Z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eyJoZGlkIjoiZjFhMjllM2U1MDBhZGU3NjVlNmFlNWU2YjFmZTUwZDQiLCJ1c2VySWQiOiI0NDgyMTE1NDUifQ==</vt:lpwstr>
  </property>
  <property fmtid="{D5CDD505-2E9C-101B-9397-08002B2CF9AE}" pid="4" name="ICV">
    <vt:lpwstr>B461DC146744457FB3D7086E4C3F09E1_12</vt:lpwstr>
  </property>
</Properties>
</file>